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769C5" w14:textId="7F3FB138" w:rsidR="002A4164" w:rsidRDefault="00987226" w:rsidP="0098722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 актуальны с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72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9FB9743" w14:textId="0374D142" w:rsidR="00547E34" w:rsidRDefault="00547E34" w:rsidP="00814C8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C88E0" w14:textId="77777777" w:rsidR="00CC083C" w:rsidRDefault="00CC083C" w:rsidP="00814C8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464BC" w14:textId="39778F69" w:rsidR="002A4164" w:rsidRDefault="002A4164" w:rsidP="002A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4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Тарифы на услуг</w:t>
      </w:r>
      <w:r w:rsidR="00AA6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A4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A6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межоператорского</w:t>
      </w:r>
      <w:proofErr w:type="spellEnd"/>
      <w:r w:rsidR="00AA6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обмена</w:t>
      </w:r>
    </w:p>
    <w:p w14:paraId="063CAB59" w14:textId="77777777" w:rsidR="002A4164" w:rsidRDefault="002A4164" w:rsidP="002A4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D3A5F3" w14:textId="07549889" w:rsidR="002A4164" w:rsidRPr="002A4164" w:rsidRDefault="002A4164" w:rsidP="00F64154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64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Тарифы для филиалов </w:t>
      </w:r>
      <w:r w:rsidR="00C64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акрорегиона Дальний Восток:</w:t>
      </w:r>
    </w:p>
    <w:p w14:paraId="5828706F" w14:textId="48782DF5" w:rsidR="008F4591" w:rsidRDefault="00612738" w:rsidP="00BE1DD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Амурской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5D2" w:rsidRP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Еврейской автономной области, УФПС Камчатского края, УФПС Магаданской области, УФПС Приморского края, УФПС Республики Саха (Якутия),</w:t>
      </w:r>
      <w:r w:rsid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УФПС Сахалинской области, </w:t>
      </w:r>
      <w:r w:rsidRP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</w:t>
      </w:r>
      <w:r w:rsidR="00547E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УФПС </w:t>
      </w:r>
      <w:r w:rsidR="007B25D2" w:rsidRPr="007B25D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Чукотского автономного округа</w:t>
      </w: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2409"/>
        <w:gridCol w:w="2263"/>
      </w:tblGrid>
      <w:tr w:rsidR="00410332" w:rsidRPr="007F4D9B" w14:paraId="10BECE93" w14:textId="77777777" w:rsidTr="00EB0E0C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</w:tcBorders>
            <w:vAlign w:val="center"/>
            <w:hideMark/>
          </w:tcPr>
          <w:p w14:paraId="3661BDEE" w14:textId="77777777" w:rsidR="00410332" w:rsidRPr="00547E34" w:rsidRDefault="00410332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89" w:type="pct"/>
            <w:tcBorders>
              <w:top w:val="single" w:sz="4" w:space="0" w:color="auto"/>
            </w:tcBorders>
            <w:vAlign w:val="center"/>
            <w:hideMark/>
          </w:tcPr>
          <w:p w14:paraId="17D6C12F" w14:textId="77777777" w:rsidR="0090130B" w:rsidRDefault="00A22309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Тариф, руб., </w:t>
            </w:r>
          </w:p>
          <w:p w14:paraId="5EC0376A" w14:textId="5CE3523C" w:rsidR="00410332" w:rsidRPr="00547E34" w:rsidRDefault="00A22309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211" w:type="pct"/>
            <w:tcBorders>
              <w:top w:val="single" w:sz="4" w:space="0" w:color="auto"/>
            </w:tcBorders>
            <w:vAlign w:val="center"/>
          </w:tcPr>
          <w:p w14:paraId="0F1AC330" w14:textId="7A6A24DB" w:rsidR="00410332" w:rsidRPr="00547E34" w:rsidRDefault="00410332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Тариф, руб., </w:t>
            </w:r>
            <w:r w:rsidRPr="00547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НДС</w:t>
            </w:r>
            <w:r w:rsidR="00BE1DD7" w:rsidRPr="00547E34">
              <w:rPr>
                <w:rStyle w:val="af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1"/>
            </w:r>
          </w:p>
        </w:tc>
      </w:tr>
      <w:tr w:rsidR="00410332" w:rsidRPr="007F4D9B" w14:paraId="5464D860" w14:textId="77777777" w:rsidTr="004F033F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FA932FA" w14:textId="4172B9C2" w:rsidR="00410332" w:rsidRPr="00547E34" w:rsidRDefault="00910D68" w:rsidP="00750237">
            <w:pPr>
              <w:pStyle w:val="a3"/>
              <w:numPr>
                <w:ilvl w:val="0"/>
                <w:numId w:val="6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Простые отправления</w:t>
            </w:r>
          </w:p>
          <w:p w14:paraId="0307917B" w14:textId="6E2FE239" w:rsidR="00CA1C91" w:rsidRPr="00547E34" w:rsidRDefault="00CA1C91" w:rsidP="00750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47E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 с операторами почтовой связи, обработка, перевозка, доставка (вручение))</w:t>
            </w:r>
          </w:p>
        </w:tc>
      </w:tr>
      <w:tr w:rsidR="000F0E83" w:rsidRPr="007F4D9B" w14:paraId="555364FD" w14:textId="77777777" w:rsidTr="00EB0E0C">
        <w:trPr>
          <w:trHeight w:val="20"/>
          <w:jc w:val="center"/>
        </w:trPr>
        <w:tc>
          <w:tcPr>
            <w:tcW w:w="2500" w:type="pct"/>
            <w:noWrap/>
            <w:vAlign w:val="center"/>
            <w:hideMark/>
          </w:tcPr>
          <w:p w14:paraId="3BCDB9AA" w14:textId="77777777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 карточка простая</w:t>
            </w:r>
          </w:p>
        </w:tc>
        <w:tc>
          <w:tcPr>
            <w:tcW w:w="1289" w:type="pct"/>
            <w:noWrap/>
          </w:tcPr>
          <w:p w14:paraId="5E58709E" w14:textId="4E8F49E7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11" w:type="pct"/>
          </w:tcPr>
          <w:p w14:paraId="01E550A4" w14:textId="773D9BB6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0F0E83" w:rsidRPr="007F4D9B" w14:paraId="197839F0" w14:textId="77777777" w:rsidTr="00EB0E0C">
        <w:trPr>
          <w:trHeight w:val="2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7B562DB4" w14:textId="225F81CB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простое весом до 20 г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noWrap/>
          </w:tcPr>
          <w:p w14:paraId="34244389" w14:textId="33033B81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6E3F9D08" w14:textId="2DCE21B7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51,60</w:t>
            </w:r>
          </w:p>
        </w:tc>
      </w:tr>
      <w:tr w:rsidR="000F0E83" w:rsidRPr="007F4D9B" w14:paraId="438CE043" w14:textId="77777777" w:rsidTr="00EB0E0C">
        <w:trPr>
          <w:trHeight w:val="2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345373BF" w14:textId="306D95FC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Бандероль простая весом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г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noWrap/>
          </w:tcPr>
          <w:p w14:paraId="008C2BC6" w14:textId="36CC588A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211" w:type="pct"/>
            <w:tcBorders>
              <w:bottom w:val="single" w:sz="4" w:space="0" w:color="auto"/>
            </w:tcBorders>
          </w:tcPr>
          <w:p w14:paraId="1C78060D" w14:textId="7C09E2AB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81,60</w:t>
            </w:r>
          </w:p>
        </w:tc>
      </w:tr>
      <w:tr w:rsidR="00410332" w:rsidRPr="007F4D9B" w14:paraId="051FA481" w14:textId="77777777" w:rsidTr="004F033F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A9C646D" w14:textId="50034157" w:rsidR="00410332" w:rsidRPr="00EB0E0C" w:rsidRDefault="00910D68" w:rsidP="00750237">
            <w:pPr>
              <w:pStyle w:val="a3"/>
              <w:numPr>
                <w:ilvl w:val="0"/>
                <w:numId w:val="6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E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Заказные отправления</w:t>
            </w:r>
          </w:p>
          <w:p w14:paraId="0E8450E2" w14:textId="5A4D9A93" w:rsidR="00CA1C91" w:rsidRPr="00EB0E0C" w:rsidRDefault="00CA1C91" w:rsidP="00750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0E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обмен с операторами почтовой связи, обработка, перевозка, доставка (вручение))</w:t>
            </w:r>
          </w:p>
        </w:tc>
      </w:tr>
      <w:tr w:rsidR="000F0E83" w:rsidRPr="007F4D9B" w14:paraId="682A93FD" w14:textId="77777777" w:rsidTr="00D61666">
        <w:trPr>
          <w:trHeight w:val="20"/>
          <w:jc w:val="center"/>
        </w:trPr>
        <w:tc>
          <w:tcPr>
            <w:tcW w:w="2500" w:type="pct"/>
            <w:noWrap/>
            <w:vAlign w:val="center"/>
            <w:hideMark/>
          </w:tcPr>
          <w:p w14:paraId="29F69765" w14:textId="77777777" w:rsidR="000F0E83" w:rsidRPr="00547E34" w:rsidRDefault="000F0E83" w:rsidP="000F0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 карточка заказная</w:t>
            </w:r>
          </w:p>
        </w:tc>
        <w:tc>
          <w:tcPr>
            <w:tcW w:w="1289" w:type="pct"/>
            <w:noWrap/>
            <w:vAlign w:val="center"/>
          </w:tcPr>
          <w:p w14:paraId="741ACFCF" w14:textId="66CE3A4C" w:rsidR="000F0E83" w:rsidRPr="000F0E83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  <w:tc>
          <w:tcPr>
            <w:tcW w:w="1211" w:type="pct"/>
            <w:vAlign w:val="center"/>
          </w:tcPr>
          <w:p w14:paraId="43A33B66" w14:textId="4F15EE24" w:rsidR="000F0E83" w:rsidRPr="000F0E83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123,60</w:t>
            </w:r>
          </w:p>
        </w:tc>
      </w:tr>
      <w:tr w:rsidR="000F0E83" w:rsidRPr="007F4D9B" w14:paraId="2C801BFD" w14:textId="77777777" w:rsidTr="00D61666">
        <w:trPr>
          <w:trHeight w:val="20"/>
          <w:jc w:val="center"/>
        </w:trPr>
        <w:tc>
          <w:tcPr>
            <w:tcW w:w="2500" w:type="pct"/>
            <w:noWrap/>
            <w:vAlign w:val="center"/>
            <w:hideMark/>
          </w:tcPr>
          <w:p w14:paraId="447C4C3E" w14:textId="1F48003C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заказное весом до 20 г</w:t>
            </w:r>
          </w:p>
        </w:tc>
        <w:tc>
          <w:tcPr>
            <w:tcW w:w="1289" w:type="pct"/>
            <w:vAlign w:val="center"/>
          </w:tcPr>
          <w:p w14:paraId="6F85BF9C" w14:textId="021A7FBA" w:rsidR="000F0E83" w:rsidRPr="000F0E83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  <w:tc>
          <w:tcPr>
            <w:tcW w:w="1211" w:type="pct"/>
            <w:vAlign w:val="center"/>
          </w:tcPr>
          <w:p w14:paraId="7914C2BF" w14:textId="75BEA113" w:rsidR="000F0E83" w:rsidRPr="000F0E83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142,80</w:t>
            </w:r>
          </w:p>
        </w:tc>
      </w:tr>
      <w:tr w:rsidR="000F0E83" w:rsidRPr="007F4D9B" w14:paraId="7CFC2FFB" w14:textId="77777777" w:rsidTr="00D61666">
        <w:trPr>
          <w:trHeight w:val="20"/>
          <w:jc w:val="center"/>
        </w:trPr>
        <w:tc>
          <w:tcPr>
            <w:tcW w:w="2500" w:type="pct"/>
            <w:vAlign w:val="center"/>
            <w:hideMark/>
          </w:tcPr>
          <w:p w14:paraId="49BE8377" w14:textId="685B89AF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Бандероль заказная весом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г</w:t>
            </w:r>
          </w:p>
        </w:tc>
        <w:tc>
          <w:tcPr>
            <w:tcW w:w="1289" w:type="pct"/>
            <w:shd w:val="clear" w:color="auto" w:fill="auto"/>
            <w:vAlign w:val="center"/>
          </w:tcPr>
          <w:p w14:paraId="2CC63BCE" w14:textId="174A6A4D" w:rsidR="000F0E83" w:rsidRPr="000F0E83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139,00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4BF123EE" w14:textId="5E0DB4E7" w:rsidR="000F0E83" w:rsidRPr="000F0E83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166,80</w:t>
            </w:r>
          </w:p>
        </w:tc>
      </w:tr>
      <w:tr w:rsidR="00410332" w:rsidRPr="007F4D9B" w14:paraId="63917FEA" w14:textId="77777777" w:rsidTr="004F033F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3E06A955" w14:textId="3DF5BDB8" w:rsidR="00410332" w:rsidRPr="00EB0E0C" w:rsidRDefault="00410332" w:rsidP="00750237">
            <w:pPr>
              <w:pStyle w:val="a3"/>
              <w:numPr>
                <w:ilvl w:val="0"/>
                <w:numId w:val="6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E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Отпр</w:t>
            </w:r>
            <w:r w:rsidR="00910D68" w:rsidRPr="00EB0E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авления с объявленной ценностью</w:t>
            </w:r>
          </w:p>
          <w:p w14:paraId="71C9BE2C" w14:textId="71DD745D" w:rsidR="00CA1C91" w:rsidRPr="00EB0E0C" w:rsidRDefault="00CA1C91" w:rsidP="00750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B0E0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обмен с операторами почтовой связи, обработка, перевозка, доставка (вручение))</w:t>
            </w:r>
          </w:p>
        </w:tc>
      </w:tr>
      <w:tr w:rsidR="000F0E83" w:rsidRPr="007F4D9B" w14:paraId="6C543316" w14:textId="77777777" w:rsidTr="00434094">
        <w:trPr>
          <w:trHeight w:val="20"/>
          <w:jc w:val="center"/>
        </w:trPr>
        <w:tc>
          <w:tcPr>
            <w:tcW w:w="2500" w:type="pct"/>
            <w:noWrap/>
            <w:vAlign w:val="center"/>
            <w:hideMark/>
          </w:tcPr>
          <w:p w14:paraId="5FE51D6E" w14:textId="630B6D7C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 объявленной ценностью весом до 20 г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6F49A" w14:textId="2F32525C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AA82" w14:textId="4975C6DC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246,00</w:t>
            </w:r>
          </w:p>
        </w:tc>
      </w:tr>
      <w:tr w:rsidR="00410332" w:rsidRPr="007F4D9B" w14:paraId="1E6FE955" w14:textId="77777777" w:rsidTr="004F033F">
        <w:trPr>
          <w:trHeight w:val="20"/>
          <w:jc w:val="center"/>
        </w:trPr>
        <w:tc>
          <w:tcPr>
            <w:tcW w:w="5000" w:type="pct"/>
            <w:gridSpan w:val="3"/>
            <w:noWrap/>
            <w:vAlign w:val="center"/>
            <w:hideMark/>
          </w:tcPr>
          <w:p w14:paraId="7538C87A" w14:textId="49798E2B" w:rsidR="00410332" w:rsidRPr="00EB0E0C" w:rsidRDefault="00410332" w:rsidP="00750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0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Пересылка бандероли с объявленной ценностью </w:t>
            </w:r>
            <w:r w:rsidRPr="00EB0E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наземным транспортом</w:t>
            </w:r>
            <w:r w:rsidRPr="00EB0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каждые полные/</w:t>
            </w:r>
            <w:r w:rsidR="00BE1DD7" w:rsidRPr="00EB0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неполные 500 </w:t>
            </w:r>
            <w:r w:rsidR="008D0D7F" w:rsidRPr="00EB0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B0E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расстояния пересылки:</w:t>
            </w:r>
          </w:p>
        </w:tc>
      </w:tr>
      <w:tr w:rsidR="000F0E83" w:rsidRPr="007F4D9B" w14:paraId="6E3922DF" w14:textId="77777777" w:rsidTr="00FE4D97">
        <w:trPr>
          <w:trHeight w:val="20"/>
          <w:jc w:val="center"/>
        </w:trPr>
        <w:tc>
          <w:tcPr>
            <w:tcW w:w="2500" w:type="pct"/>
            <w:noWrap/>
            <w:vAlign w:val="center"/>
            <w:hideMark/>
          </w:tcPr>
          <w:p w14:paraId="465722D7" w14:textId="77777777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600 км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07E74" w14:textId="6C319AEB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245,00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F4A5" w14:textId="1AAE6726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294,00</w:t>
            </w:r>
          </w:p>
        </w:tc>
      </w:tr>
      <w:tr w:rsidR="000F0E83" w:rsidRPr="007F4D9B" w14:paraId="74780311" w14:textId="77777777" w:rsidTr="00FE4D97">
        <w:trPr>
          <w:trHeight w:val="20"/>
          <w:jc w:val="center"/>
        </w:trPr>
        <w:tc>
          <w:tcPr>
            <w:tcW w:w="2500" w:type="pct"/>
            <w:vAlign w:val="center"/>
            <w:hideMark/>
          </w:tcPr>
          <w:p w14:paraId="20FBC96A" w14:textId="008B074F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601 км до 2 000 км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A997B" w14:textId="3E221943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279,00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09CD" w14:textId="74630C49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334,80</w:t>
            </w:r>
          </w:p>
        </w:tc>
      </w:tr>
      <w:tr w:rsidR="000F0E83" w:rsidRPr="007F4D9B" w14:paraId="104A509A" w14:textId="77777777" w:rsidTr="00FE4D97">
        <w:trPr>
          <w:trHeight w:val="20"/>
          <w:jc w:val="center"/>
        </w:trPr>
        <w:tc>
          <w:tcPr>
            <w:tcW w:w="2500" w:type="pct"/>
            <w:vAlign w:val="center"/>
            <w:hideMark/>
          </w:tcPr>
          <w:p w14:paraId="3B1A9E49" w14:textId="70A41C11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2001 км до 5 000 км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71AC8" w14:textId="749CD83A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367,00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3056" w14:textId="2AC86C2E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440,40</w:t>
            </w:r>
          </w:p>
        </w:tc>
      </w:tr>
      <w:tr w:rsidR="000F0E83" w:rsidRPr="007F4D9B" w14:paraId="2FF554BF" w14:textId="77777777" w:rsidTr="00FE4D97">
        <w:trPr>
          <w:trHeight w:val="20"/>
          <w:jc w:val="center"/>
        </w:trPr>
        <w:tc>
          <w:tcPr>
            <w:tcW w:w="2500" w:type="pct"/>
            <w:vAlign w:val="center"/>
            <w:hideMark/>
          </w:tcPr>
          <w:p w14:paraId="0E02D301" w14:textId="62D5A51F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5001 км до 8 000 км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5838A" w14:textId="7E25983C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455,00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051F" w14:textId="6860E7DB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546,00</w:t>
            </w:r>
          </w:p>
        </w:tc>
      </w:tr>
      <w:tr w:rsidR="000F0E83" w:rsidRPr="007F4D9B" w14:paraId="160C32AD" w14:textId="77777777" w:rsidTr="00FE4D97">
        <w:trPr>
          <w:trHeight w:val="2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  <w:hideMark/>
          </w:tcPr>
          <w:p w14:paraId="71C0FF19" w14:textId="392C7FB0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8 000 км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74883" w14:textId="1A25CAB0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516,00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88C0" w14:textId="6C2A0FEE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619,20</w:t>
            </w:r>
          </w:p>
        </w:tc>
      </w:tr>
      <w:tr w:rsidR="002E448E" w:rsidRPr="007F4D9B" w14:paraId="33CD0C50" w14:textId="77777777" w:rsidTr="004F033F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58A457E7" w14:textId="7EAA617D" w:rsidR="002E448E" w:rsidRPr="00547E34" w:rsidRDefault="002E448E" w:rsidP="00750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sz w:val="24"/>
                <w:szCs w:val="24"/>
              </w:rPr>
              <w:t xml:space="preserve">Пересылка бандероли с объявленной ценностью </w:t>
            </w:r>
            <w:r w:rsidRPr="00547E34">
              <w:rPr>
                <w:rFonts w:ascii="Times New Roman" w:hAnsi="Times New Roman" w:cs="Times New Roman"/>
                <w:b/>
                <w:sz w:val="24"/>
                <w:szCs w:val="24"/>
              </w:rPr>
              <w:t>воздушным транспортом</w:t>
            </w:r>
            <w:r w:rsidRPr="00547E34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каждые полные/</w:t>
            </w:r>
            <w:r w:rsidR="00BE1DD7" w:rsidRPr="0054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E34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500 г в зависимости от расстояния пересылки: </w:t>
            </w:r>
          </w:p>
        </w:tc>
      </w:tr>
      <w:tr w:rsidR="000F0E83" w:rsidRPr="007F4D9B" w14:paraId="2C9FAD8E" w14:textId="77777777" w:rsidTr="005E27F5">
        <w:trPr>
          <w:trHeight w:val="2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409D9A9B" w14:textId="676603A5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600 км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10432" w14:textId="16C59258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306,00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F4D7" w14:textId="7A7C796A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367,20</w:t>
            </w:r>
          </w:p>
        </w:tc>
      </w:tr>
      <w:tr w:rsidR="000F0E83" w:rsidRPr="007F4D9B" w14:paraId="00C11DEC" w14:textId="77777777" w:rsidTr="005E27F5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0FD5" w14:textId="4FA6B2B9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601 км до 2 000 км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111A" w14:textId="15819B75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347,00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1187" w14:textId="2A32A492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416,40</w:t>
            </w:r>
          </w:p>
        </w:tc>
      </w:tr>
      <w:tr w:rsidR="000F0E83" w:rsidRPr="007F4D9B" w14:paraId="0E7A0E8E" w14:textId="77777777" w:rsidTr="005E27F5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27361E75" w14:textId="49233E9F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2001 км до 5 000 км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3203" w14:textId="7DFFCDC3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427,00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902F" w14:textId="788DA76E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512,40</w:t>
            </w:r>
          </w:p>
        </w:tc>
      </w:tr>
      <w:tr w:rsidR="000F0E83" w:rsidRPr="007F4D9B" w14:paraId="7A4DA2D6" w14:textId="77777777" w:rsidTr="005E27F5">
        <w:trPr>
          <w:trHeight w:val="20"/>
          <w:jc w:val="center"/>
        </w:trPr>
        <w:tc>
          <w:tcPr>
            <w:tcW w:w="2500" w:type="pct"/>
            <w:vAlign w:val="center"/>
          </w:tcPr>
          <w:p w14:paraId="5998CBAB" w14:textId="68262450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5001 км до 8 000 км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3F41" w14:textId="291BEEEF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556,00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7C2D" w14:textId="2CF8E854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667,20</w:t>
            </w:r>
          </w:p>
        </w:tc>
      </w:tr>
      <w:tr w:rsidR="000F0E83" w:rsidRPr="007F4D9B" w14:paraId="16823110" w14:textId="77777777" w:rsidTr="005E27F5">
        <w:trPr>
          <w:trHeight w:val="20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4025DAA4" w14:textId="1A4C0701" w:rsidR="000F0E83" w:rsidRPr="00547E34" w:rsidRDefault="000F0E83" w:rsidP="000F0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8 000 км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A20B" w14:textId="614A33C9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3903" w14:textId="14FB5025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748,80</w:t>
            </w:r>
          </w:p>
        </w:tc>
      </w:tr>
      <w:tr w:rsidR="002E448E" w:rsidRPr="007F4D9B" w14:paraId="58DF2184" w14:textId="77777777" w:rsidTr="004F033F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35A36825" w14:textId="647F5E37" w:rsidR="002E448E" w:rsidRPr="00547E34" w:rsidRDefault="002E448E" w:rsidP="00750237">
            <w:pPr>
              <w:pStyle w:val="a3"/>
              <w:keepNext/>
              <w:numPr>
                <w:ilvl w:val="0"/>
                <w:numId w:val="6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Тарифы за последующие 20 г веса, возвращение и размер объявленной ценности почтовых отправлений </w:t>
            </w:r>
          </w:p>
        </w:tc>
      </w:tr>
      <w:tr w:rsidR="002E448E" w:rsidRPr="007F4D9B" w14:paraId="761C408C" w14:textId="77777777" w:rsidTr="00EB0E0C">
        <w:trPr>
          <w:trHeight w:val="20"/>
          <w:jc w:val="center"/>
        </w:trPr>
        <w:tc>
          <w:tcPr>
            <w:tcW w:w="2500" w:type="pct"/>
            <w:hideMark/>
          </w:tcPr>
          <w:p w14:paraId="0315A923" w14:textId="613B581E" w:rsidR="002E448E" w:rsidRPr="00547E34" w:rsidRDefault="002E448E" w:rsidP="00750237">
            <w:pPr>
              <w:pStyle w:val="a3"/>
              <w:numPr>
                <w:ilvl w:val="1"/>
                <w:numId w:val="6"/>
              </w:num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каждые последующие полные </w:t>
            </w:r>
            <w:r w:rsidR="00BE1DD7"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неполные 20 г веса простого</w:t>
            </w: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E1DD7"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-ой), заказного</w:t>
            </w: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E1DD7"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ой) письма (бандероли), письма с объявленной ценностью </w:t>
            </w:r>
          </w:p>
        </w:tc>
        <w:tc>
          <w:tcPr>
            <w:tcW w:w="1289" w:type="pct"/>
            <w:shd w:val="clear" w:color="auto" w:fill="auto"/>
            <w:noWrap/>
            <w:vAlign w:val="center"/>
            <w:hideMark/>
          </w:tcPr>
          <w:p w14:paraId="71065191" w14:textId="4D2B7589" w:rsidR="002E448E" w:rsidRPr="00547E34" w:rsidRDefault="000F0E83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2FEE" w:rsidRPr="00547E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7E24" w:rsidRPr="00547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1A742E2D" w14:textId="1B970380" w:rsidR="002E448E" w:rsidRPr="00547E34" w:rsidRDefault="00A37E24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F0E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7E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48E" w:rsidRPr="007F4D9B" w14:paraId="44751168" w14:textId="77777777" w:rsidTr="00EB0E0C">
        <w:trPr>
          <w:trHeight w:val="20"/>
          <w:jc w:val="center"/>
        </w:trPr>
        <w:tc>
          <w:tcPr>
            <w:tcW w:w="2500" w:type="pct"/>
          </w:tcPr>
          <w:p w14:paraId="5AE80678" w14:textId="37678008" w:rsidR="002E448E" w:rsidRPr="00547E34" w:rsidRDefault="002E448E" w:rsidP="00750237">
            <w:pPr>
              <w:pStyle w:val="a3"/>
              <w:numPr>
                <w:ilvl w:val="1"/>
                <w:numId w:val="6"/>
              </w:num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объявленную ценность письма или бандероли: за каждый полный или неполный 1 рубль оценочной стоимости, %</w:t>
            </w:r>
          </w:p>
        </w:tc>
        <w:tc>
          <w:tcPr>
            <w:tcW w:w="1289" w:type="pct"/>
            <w:shd w:val="clear" w:color="auto" w:fill="auto"/>
            <w:noWrap/>
            <w:vAlign w:val="center"/>
          </w:tcPr>
          <w:p w14:paraId="124D0ED3" w14:textId="0C0786FA" w:rsidR="002E448E" w:rsidRPr="00547E34" w:rsidRDefault="002E448E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1DD7" w:rsidRPr="00547E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1" w:type="pct"/>
            <w:shd w:val="clear" w:color="auto" w:fill="auto"/>
            <w:vAlign w:val="center"/>
          </w:tcPr>
          <w:p w14:paraId="313E7757" w14:textId="409D4497" w:rsidR="002E448E" w:rsidRPr="00547E34" w:rsidRDefault="002E448E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34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  <w:r w:rsidR="00BE1DD7" w:rsidRPr="00547E3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47E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448E" w:rsidRPr="007F4D9B" w14:paraId="5E57608B" w14:textId="77777777" w:rsidTr="00EB0E0C">
        <w:trPr>
          <w:trHeight w:val="20"/>
          <w:jc w:val="center"/>
        </w:trPr>
        <w:tc>
          <w:tcPr>
            <w:tcW w:w="2500" w:type="pct"/>
            <w:vAlign w:val="center"/>
          </w:tcPr>
          <w:p w14:paraId="5A29A396" w14:textId="0C87E549" w:rsidR="002E448E" w:rsidRPr="00547E34" w:rsidRDefault="002E448E" w:rsidP="005810C3">
            <w:pPr>
              <w:pStyle w:val="a3"/>
              <w:numPr>
                <w:ilvl w:val="1"/>
                <w:numId w:val="6"/>
              </w:num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возвращение отправлений в место обмена </w:t>
            </w:r>
          </w:p>
        </w:tc>
        <w:tc>
          <w:tcPr>
            <w:tcW w:w="2500" w:type="pct"/>
            <w:gridSpan w:val="2"/>
            <w:shd w:val="clear" w:color="auto" w:fill="auto"/>
            <w:noWrap/>
            <w:vAlign w:val="center"/>
          </w:tcPr>
          <w:p w14:paraId="0A75A569" w14:textId="52D9EBDA" w:rsidR="002E448E" w:rsidRPr="00547E34" w:rsidRDefault="005810C3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E448E"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лата взимается за вес по тарифу, указанному в разделах 1, 2, 3 и пункт</w:t>
            </w:r>
            <w:r w:rsidR="002E448E" w:rsidRPr="00547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E448E"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  <w:r w:rsidR="002E448E" w:rsidRPr="00547E34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E448E"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настоящей таблицы для соответствующего вида и категории почтового отправления</w:t>
            </w:r>
          </w:p>
        </w:tc>
      </w:tr>
      <w:tr w:rsidR="002E448E" w:rsidRPr="007F4D9B" w14:paraId="6032D27D" w14:textId="77777777" w:rsidTr="004F033F">
        <w:trPr>
          <w:trHeight w:val="20"/>
          <w:jc w:val="center"/>
        </w:trPr>
        <w:tc>
          <w:tcPr>
            <w:tcW w:w="5000" w:type="pct"/>
            <w:gridSpan w:val="3"/>
            <w:vAlign w:val="center"/>
          </w:tcPr>
          <w:p w14:paraId="3F8804F4" w14:textId="3FE0F4C6" w:rsidR="002E448E" w:rsidRPr="00547E34" w:rsidRDefault="002E448E" w:rsidP="00750237">
            <w:pPr>
              <w:pStyle w:val="a3"/>
              <w:numPr>
                <w:ilvl w:val="0"/>
                <w:numId w:val="6"/>
              </w:num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Тарифы на дополнительную услугу «</w:t>
            </w:r>
            <w:proofErr w:type="spellStart"/>
            <w:r w:rsidRPr="00547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Межоператорское</w:t>
            </w:r>
            <w:proofErr w:type="spellEnd"/>
            <w:r w:rsidRPr="00547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уведомление</w:t>
            </w:r>
            <w:r w:rsidR="00E829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47E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вручении» </w:t>
            </w: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(для отправлений разряда «</w:t>
            </w:r>
            <w:proofErr w:type="spellStart"/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Межоператорское</w:t>
            </w:r>
            <w:proofErr w:type="spellEnd"/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категории «Заказное»</w:t>
            </w:r>
            <w:r w:rsidR="00E829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«С объявленной ценностью»)</w:t>
            </w:r>
          </w:p>
        </w:tc>
      </w:tr>
      <w:tr w:rsidR="000F0E83" w:rsidRPr="007F4D9B" w14:paraId="7A866FD8" w14:textId="77777777" w:rsidTr="00D96C79">
        <w:trPr>
          <w:trHeight w:val="20"/>
          <w:jc w:val="center"/>
        </w:trPr>
        <w:tc>
          <w:tcPr>
            <w:tcW w:w="2500" w:type="pct"/>
            <w:vAlign w:val="center"/>
          </w:tcPr>
          <w:p w14:paraId="08AA8B90" w14:textId="0F87616B" w:rsidR="000F0E83" w:rsidRPr="00547E34" w:rsidRDefault="000F0E83" w:rsidP="000F0E83">
            <w:pPr>
              <w:pStyle w:val="a3"/>
              <w:numPr>
                <w:ilvl w:val="1"/>
                <w:numId w:val="6"/>
              </w:num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уведомление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7E69B" w14:textId="443401E0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D314" w14:textId="116E003F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88,80</w:t>
            </w:r>
          </w:p>
        </w:tc>
      </w:tr>
      <w:tr w:rsidR="000F0E83" w:rsidRPr="007F4D9B" w14:paraId="23EBFB82" w14:textId="77777777" w:rsidTr="00D96C79">
        <w:trPr>
          <w:trHeight w:val="20"/>
          <w:jc w:val="center"/>
        </w:trPr>
        <w:tc>
          <w:tcPr>
            <w:tcW w:w="2500" w:type="pct"/>
            <w:vAlign w:val="center"/>
          </w:tcPr>
          <w:p w14:paraId="5D76B7FF" w14:textId="0602B8F5" w:rsidR="000F0E83" w:rsidRPr="00547E34" w:rsidRDefault="000F0E83" w:rsidP="000F0E83">
            <w:pPr>
              <w:pStyle w:val="a3"/>
              <w:numPr>
                <w:ilvl w:val="1"/>
                <w:numId w:val="6"/>
              </w:num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E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Заказное уведомление</w:t>
            </w: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AC9FC" w14:textId="23FDD161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9C90" w14:textId="13A501FE" w:rsidR="000F0E83" w:rsidRPr="00EB0E0C" w:rsidRDefault="000F0E83" w:rsidP="000F0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E83">
              <w:rPr>
                <w:rFonts w:ascii="Times New Roman" w:hAnsi="Times New Roman" w:cs="Times New Roman"/>
                <w:sz w:val="24"/>
                <w:szCs w:val="24"/>
              </w:rPr>
              <w:t>157,20</w:t>
            </w:r>
          </w:p>
        </w:tc>
      </w:tr>
    </w:tbl>
    <w:p w14:paraId="48CDF01F" w14:textId="77777777" w:rsidR="006A0334" w:rsidRDefault="006A0334" w:rsidP="00C14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56100" w14:textId="0BEEC074" w:rsidR="00C14102" w:rsidRDefault="00C14102" w:rsidP="00F6415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6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40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Тарифы для филиалов: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17659D8" w14:textId="546172A2" w:rsidR="007571F3" w:rsidRDefault="00C14102" w:rsidP="007571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УФПС «Татарстан </w:t>
      </w:r>
      <w:proofErr w:type="spellStart"/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почтасы</w:t>
      </w:r>
      <w:proofErr w:type="spellEnd"/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Алтайского края, УФПС Архангельской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Астраханской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Белгородской области, УФПС Брянской области, УФПС Владимирской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Волгоградской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Вологодской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</w:t>
      </w:r>
      <w:r w:rsidR="00A938B6">
        <w:rPr>
          <w:rFonts w:ascii="Times New Roman" w:eastAsia="Times New Roman" w:hAnsi="Times New Roman" w:cs="Times New Roman"/>
          <w:sz w:val="28"/>
          <w:szCs w:val="28"/>
          <w:lang w:eastAsia="ru-RU"/>
        </w:rPr>
        <w:t>ПС Воронежской области, УФПС г.</w:t>
      </w:r>
      <w:r w:rsidR="00BE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Москвы, УФПС г. Санкт-Петербурга и Ленинградской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Забайкальского края,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Ивановской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Иркутской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Кабардино-Балкарской Республики, УФПС Калининградской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Калужской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арачаево-Черкесской Республики,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Кемеровской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УФПС Кировской области,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Костромской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УФПС Краснодарского края, УФПС Красноярского края,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Курганской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УФПС Курской области, УФПС Липецкой области, УФПС Московской области, УФПС Мурманской области,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енецкого автономного округа, УФПС Нижегородской области,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Новгородск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области, УФПС Новосибирской области, УФПС Омской области, УФПС Оренбургской области, УФПС Орловской области, УФПС Пензенской области, УФПС Пермского края, УФПС Псковской области,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Республики Адыгея,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УФПС Республики Алтай, УФПС Республики Башкортостан, УФПС Республики Бурятия, УФПС Республики Дагестан, УФПС Республики Ингушетия, УФПС Республики Калмыкия,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Республики Карелия,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УФПС Республики Коми, УФПС Республики Марий Эл, УФПС Республики Мордовия,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Республики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верная Осетия</w:t>
      </w:r>
      <w:r w:rsidR="00BE1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E1DD7" w:rsidRPr="00BE1D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Алания, УФПС Республики Тыва, УФПС Республики Хакасия, УФПС Ростовской области, УФПС Рязанской области, УФПС Самарской области,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Саратовской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УФПС Свердловской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области, УФПС Смоленской области, УФПС Ставропольского края,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бовской области,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Тверской области,</w:t>
      </w:r>
      <w:r w:rsidRPr="0029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УФПС Томской области, УФПС Тульской области, УФПС Тюменской области, УФПС Удмуртской Республики, УФПС Ульяновской области,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Ханты-Мансий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автономного округа</w:t>
      </w:r>
      <w:r w:rsidR="00F6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Югр</w:t>
      </w:r>
      <w:r w:rsidR="00A938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УФПС Челябинской области,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УФПС Чеченской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Республики, УФПС Чувашской Республики,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Ямал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о-Ненецкого автономного округа, </w:t>
      </w:r>
      <w:r w:rsidRPr="00C70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УФПС Ярославской области</w:t>
      </w: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2411"/>
        <w:gridCol w:w="2261"/>
      </w:tblGrid>
      <w:tr w:rsidR="002F2420" w:rsidRPr="007F4D9B" w14:paraId="5ABD7D23" w14:textId="77777777" w:rsidTr="00EB0E0C">
        <w:trPr>
          <w:trHeight w:val="20"/>
          <w:tblHeader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C038" w14:textId="77777777" w:rsidR="002F2420" w:rsidRPr="00110A2F" w:rsidRDefault="002F2420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501BDE79" w14:textId="77777777" w:rsidR="0090130B" w:rsidRDefault="002F2420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Тариф, руб., </w:t>
            </w:r>
          </w:p>
          <w:p w14:paraId="6FC90FB7" w14:textId="0EFB0C84" w:rsidR="002F2420" w:rsidRPr="00110A2F" w:rsidRDefault="002F2420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vAlign w:val="center"/>
          </w:tcPr>
          <w:p w14:paraId="0F6CC490" w14:textId="6B7CBBFF" w:rsidR="002F2420" w:rsidRPr="00110A2F" w:rsidRDefault="002F2420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Тариф, руб., </w:t>
            </w:r>
            <w:r w:rsidRPr="00110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НДС</w:t>
            </w:r>
            <w:r w:rsidR="00BE1DD7" w:rsidRPr="00110A2F">
              <w:rPr>
                <w:rStyle w:val="af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</w:tr>
      <w:tr w:rsidR="002F2420" w:rsidRPr="007F4D9B" w14:paraId="5F721A32" w14:textId="77777777" w:rsidTr="0029772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83BA" w14:textId="2E77FBDD" w:rsidR="002F2420" w:rsidRPr="00110A2F" w:rsidRDefault="00910D68" w:rsidP="0075023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Простые отправления</w:t>
            </w:r>
          </w:p>
          <w:p w14:paraId="07A85283" w14:textId="77777777" w:rsidR="002F2420" w:rsidRPr="00110A2F" w:rsidRDefault="002F2420" w:rsidP="00750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10A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 с операторами почтовой связи, обработка, перевозка, доставка (вручение))</w:t>
            </w:r>
          </w:p>
        </w:tc>
      </w:tr>
      <w:tr w:rsidR="00EE4060" w:rsidRPr="007F4D9B" w14:paraId="156A36FA" w14:textId="77777777" w:rsidTr="00025021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3C941" w14:textId="77777777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 карточка простая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C1C0" w14:textId="469927FC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D397" w14:textId="18A671D7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39,60</w:t>
            </w:r>
          </w:p>
        </w:tc>
      </w:tr>
      <w:tr w:rsidR="00EE4060" w:rsidRPr="007F4D9B" w14:paraId="69375BD0" w14:textId="77777777" w:rsidTr="00025021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BD69C" w14:textId="77777777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простое весом до 20 г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E494" w14:textId="2F6409F5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EDA9" w14:textId="1F3D0B74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</w:tr>
      <w:tr w:rsidR="00EE4060" w:rsidRPr="007F4D9B" w14:paraId="41756428" w14:textId="77777777" w:rsidTr="00025021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184D" w14:textId="28536D77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Бандероль простая весом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г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FE5D" w14:textId="3ABDF1BE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1F0F" w14:textId="42160DDB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75,60</w:t>
            </w:r>
          </w:p>
        </w:tc>
      </w:tr>
      <w:tr w:rsidR="00007154" w:rsidRPr="007F4D9B" w14:paraId="30DCBE56" w14:textId="77777777" w:rsidTr="0029772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026FA" w14:textId="39A163E9" w:rsidR="00007154" w:rsidRPr="00110A2F" w:rsidRDefault="00007154" w:rsidP="0075023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Заказные отправления</w:t>
            </w:r>
          </w:p>
          <w:p w14:paraId="6834137E" w14:textId="77777777" w:rsidR="00007154" w:rsidRPr="00110A2F" w:rsidRDefault="00007154" w:rsidP="00750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10A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 с операторами почтовой связи, обработка, перевозка, доставка (вручение))</w:t>
            </w:r>
          </w:p>
        </w:tc>
      </w:tr>
      <w:tr w:rsidR="00EE4060" w:rsidRPr="007F4D9B" w14:paraId="38798267" w14:textId="77777777" w:rsidTr="003943AC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EC2DC" w14:textId="77777777" w:rsidR="00EE4060" w:rsidRPr="00110A2F" w:rsidRDefault="00EE4060" w:rsidP="00EE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Почтовая карточка заказная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62EB0" w14:textId="34E115BE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FBB0" w14:textId="73AEE3F6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EE4060" w:rsidRPr="007F4D9B" w14:paraId="13DAA25D" w14:textId="77777777" w:rsidTr="003943AC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C7FBD" w14:textId="77777777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заказное весом до 20 г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32BA" w14:textId="2E57A06E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FE4D5" w14:textId="41FC7B0D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EE4060" w:rsidRPr="007F4D9B" w14:paraId="7517906E" w14:textId="77777777" w:rsidTr="003943AC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7B3D" w14:textId="082BC598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Бандероль заказная весом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 г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A881" w14:textId="1E010789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127,00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326E" w14:textId="7395BA7F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152,40</w:t>
            </w:r>
          </w:p>
        </w:tc>
      </w:tr>
      <w:tr w:rsidR="00007154" w:rsidRPr="007F4D9B" w14:paraId="37E8B961" w14:textId="77777777" w:rsidTr="0029772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D083" w14:textId="5B4D02F1" w:rsidR="00007154" w:rsidRPr="00110A2F" w:rsidRDefault="00007154" w:rsidP="0075023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Отправления с объявленной ценностью</w:t>
            </w:r>
          </w:p>
          <w:p w14:paraId="1AA7F182" w14:textId="77777777" w:rsidR="00007154" w:rsidRPr="00110A2F" w:rsidRDefault="00007154" w:rsidP="007502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10A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обмен с операторами почтовой связи, обработка, перевозка, доставка (вручение))</w:t>
            </w:r>
          </w:p>
        </w:tc>
      </w:tr>
      <w:tr w:rsidR="00EE4060" w:rsidRPr="007F4D9B" w14:paraId="4BE6A3F4" w14:textId="77777777" w:rsidTr="00F21A4F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C9E12" w14:textId="77777777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с объявленной ценностью весом до 20 г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FE97" w14:textId="7A0EA9B0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191,00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CFFA" w14:textId="0F1E90E2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229,20</w:t>
            </w:r>
          </w:p>
        </w:tc>
      </w:tr>
      <w:tr w:rsidR="00007154" w:rsidRPr="007F4D9B" w14:paraId="4DAEB82F" w14:textId="77777777" w:rsidTr="0029772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A479" w14:textId="11E09292" w:rsidR="00007154" w:rsidRPr="00110A2F" w:rsidRDefault="00007154" w:rsidP="007502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Пересылка бандероли с объявленной ценностью </w:t>
            </w:r>
            <w:r w:rsidRPr="00110A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наземным транспортом</w:t>
            </w: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каждые полные/</w:t>
            </w:r>
            <w:r w:rsidR="00BE1DD7"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неполные 500 г в зависимости от расстояния пересылки:</w:t>
            </w:r>
          </w:p>
        </w:tc>
      </w:tr>
      <w:tr w:rsidR="00EE4060" w:rsidRPr="007F4D9B" w14:paraId="3BD83C22" w14:textId="77777777" w:rsidTr="00DC2DA5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CB113" w14:textId="77777777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600 км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031D" w14:textId="21E84F73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218,00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47E0" w14:textId="7DF1F230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261,60</w:t>
            </w:r>
          </w:p>
        </w:tc>
      </w:tr>
      <w:tr w:rsidR="00EE4060" w:rsidRPr="007F4D9B" w14:paraId="0FAB28C1" w14:textId="77777777" w:rsidTr="00DC2DA5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C36F" w14:textId="77777777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601 км до 2 000 км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666D" w14:textId="02AFA554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02B2" w14:textId="1645A738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302,40</w:t>
            </w:r>
          </w:p>
        </w:tc>
      </w:tr>
      <w:tr w:rsidR="00EE4060" w:rsidRPr="007F4D9B" w14:paraId="7EC955F8" w14:textId="77777777" w:rsidTr="00DC2DA5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3DEB" w14:textId="77777777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2001 км до 5 000 км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F36FD" w14:textId="18A49CA6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D60DA" w14:textId="51F65758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EE4060" w:rsidRPr="007F4D9B" w14:paraId="6203BAC4" w14:textId="77777777" w:rsidTr="00DC2DA5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15F0" w14:textId="77777777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5001 км до 8 000 км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61FF" w14:textId="7109FCF9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421,00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23E4" w14:textId="185E0F13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505,20</w:t>
            </w:r>
          </w:p>
        </w:tc>
      </w:tr>
      <w:tr w:rsidR="00EE4060" w:rsidRPr="007F4D9B" w14:paraId="293839E1" w14:textId="77777777" w:rsidTr="00DC2DA5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E258" w14:textId="77777777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8 000 км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82E73" w14:textId="050E000A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482,00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BB82" w14:textId="59CC3F34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578,40</w:t>
            </w:r>
          </w:p>
        </w:tc>
      </w:tr>
      <w:tr w:rsidR="00A95820" w:rsidRPr="007F4D9B" w14:paraId="05E6609F" w14:textId="77777777" w:rsidTr="0029772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940C3" w14:textId="7536F29A" w:rsidR="00A95820" w:rsidRPr="00110A2F" w:rsidRDefault="00A95820" w:rsidP="00750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Пересылка бандероли с объявленной ценностью </w:t>
            </w:r>
            <w:r w:rsidRPr="00110A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воздушным транспортом</w:t>
            </w:r>
            <w:r w:rsidRPr="00110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каждые полные/</w:t>
            </w:r>
            <w:r w:rsidR="00BE1DD7" w:rsidRPr="00110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0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неполные 500 г в зависимости от расстояния пересылки:</w:t>
            </w:r>
          </w:p>
        </w:tc>
      </w:tr>
      <w:tr w:rsidR="00EE4060" w:rsidRPr="007F4D9B" w14:paraId="3591218F" w14:textId="77777777" w:rsidTr="00932183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27E7" w14:textId="7C158658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600 км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8C95" w14:textId="30C9630A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E46E" w14:textId="67F7F831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342,00</w:t>
            </w:r>
          </w:p>
        </w:tc>
      </w:tr>
      <w:tr w:rsidR="00EE4060" w:rsidRPr="007F4D9B" w14:paraId="332023F4" w14:textId="77777777" w:rsidTr="00932183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9C7E" w14:textId="60CFD4E1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601 км до 2 000 км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5F86" w14:textId="2CEF85BA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327,00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51AD" w14:textId="582EC2E6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392,40</w:t>
            </w:r>
          </w:p>
        </w:tc>
      </w:tr>
      <w:tr w:rsidR="00EE4060" w:rsidRPr="007F4D9B" w14:paraId="4A006E64" w14:textId="77777777" w:rsidTr="00932183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4F92" w14:textId="20269FC5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2001 км до 5 000 км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767D0" w14:textId="03AF976F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CE2" w14:textId="7E8DC85E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489,60</w:t>
            </w:r>
          </w:p>
        </w:tc>
      </w:tr>
      <w:tr w:rsidR="00EE4060" w:rsidRPr="007F4D9B" w14:paraId="6964CD29" w14:textId="77777777" w:rsidTr="00932183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9F94" w14:textId="04CC0EDA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5001 км до 8 000 км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E38F" w14:textId="3A0FF84E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530,00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A2EB" w14:textId="7D32EB83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</w:tr>
      <w:tr w:rsidR="00EE4060" w:rsidRPr="007F4D9B" w14:paraId="2C416112" w14:textId="77777777" w:rsidTr="00932183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380" w14:textId="23628336" w:rsidR="00EE4060" w:rsidRPr="00110A2F" w:rsidRDefault="00EE4060" w:rsidP="00EE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8 000 км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FB800" w14:textId="064E6A1E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9957" w14:textId="6A4947AD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717,60</w:t>
            </w:r>
          </w:p>
        </w:tc>
      </w:tr>
      <w:tr w:rsidR="00A95820" w:rsidRPr="007F4D9B" w14:paraId="72BAB919" w14:textId="77777777" w:rsidTr="0029772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535B" w14:textId="3EE766DC" w:rsidR="00A95820" w:rsidRPr="00110A2F" w:rsidRDefault="00A95820" w:rsidP="0075023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Тарифы за последующие 20 г веса, возвращение и размер объявленной ценности почтовых отправлений </w:t>
            </w:r>
          </w:p>
        </w:tc>
      </w:tr>
      <w:tr w:rsidR="00A95820" w:rsidRPr="007F4D9B" w14:paraId="247A352D" w14:textId="77777777" w:rsidTr="00EB0E0C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FBA2" w14:textId="5E7FBD94" w:rsidR="00A95820" w:rsidRPr="00110A2F" w:rsidRDefault="00A95820" w:rsidP="00750237">
            <w:pPr>
              <w:pStyle w:val="a3"/>
              <w:numPr>
                <w:ilvl w:val="1"/>
                <w:numId w:val="9"/>
              </w:num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каждые последующие полные или неполные 20 г </w:t>
            </w:r>
            <w:r w:rsidR="00BE1DD7"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веса простого</w:t>
            </w: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E1DD7"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ой), заказного(</w:t>
            </w:r>
            <w:r w:rsidR="00BE1DD7"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ой) письма (бандероли), письма с объявленной ценностью</w:t>
            </w:r>
          </w:p>
        </w:tc>
        <w:tc>
          <w:tcPr>
            <w:tcW w:w="129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1997" w14:textId="22AA0ACC" w:rsidR="00A95820" w:rsidRPr="00110A2F" w:rsidRDefault="00EE4060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0AE5" w:rsidRPr="00110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0AE5" w:rsidRPr="00110A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67CFA858" w14:textId="223B9AC5" w:rsidR="00A95820" w:rsidRPr="00110A2F" w:rsidRDefault="00DD0AE5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A2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E4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361D" w:rsidRPr="00110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D0AE5" w:rsidRPr="007F4D9B" w14:paraId="537B9317" w14:textId="77777777" w:rsidTr="00EB0E0C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B5F" w14:textId="77777777" w:rsidR="00DD0AE5" w:rsidRPr="00110A2F" w:rsidRDefault="00DD0AE5" w:rsidP="00750237">
            <w:pPr>
              <w:pStyle w:val="a3"/>
              <w:numPr>
                <w:ilvl w:val="1"/>
                <w:numId w:val="9"/>
              </w:num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объявленную ценность письма или бандероли: за каждый полный или неполный 1 рубль оценочной стоимости, %</w:t>
            </w:r>
          </w:p>
        </w:tc>
        <w:tc>
          <w:tcPr>
            <w:tcW w:w="1290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0508E92" w14:textId="5B2A078D" w:rsidR="00DD0AE5" w:rsidRPr="00110A2F" w:rsidRDefault="00DD0AE5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F">
              <w:rPr>
                <w:rFonts w:ascii="Times New Roman" w:hAnsi="Times New Roman" w:cs="Times New Roman"/>
                <w:sz w:val="24"/>
                <w:szCs w:val="24"/>
              </w:rPr>
              <w:t>3 %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7D7A2F75" w14:textId="7670865C" w:rsidR="00DD0AE5" w:rsidRPr="00110A2F" w:rsidRDefault="00DD0AE5" w:rsidP="00750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F">
              <w:rPr>
                <w:rFonts w:ascii="Times New Roman" w:hAnsi="Times New Roman" w:cs="Times New Roman"/>
                <w:sz w:val="24"/>
                <w:szCs w:val="24"/>
              </w:rPr>
              <w:t>3,60 %</w:t>
            </w:r>
          </w:p>
        </w:tc>
      </w:tr>
      <w:tr w:rsidR="00DD0AE5" w:rsidRPr="007F4D9B" w14:paraId="6023A6D1" w14:textId="77777777" w:rsidTr="00EB0E0C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AF4C" w14:textId="7034F7D8" w:rsidR="00DD0AE5" w:rsidRPr="00110A2F" w:rsidRDefault="00DD0AE5" w:rsidP="005810C3">
            <w:pPr>
              <w:pStyle w:val="a3"/>
              <w:numPr>
                <w:ilvl w:val="1"/>
                <w:numId w:val="9"/>
              </w:num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возвращение отправлений в место обмена </w:t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F3FDD8F" w14:textId="477E03F1" w:rsidR="00DD0AE5" w:rsidRPr="00110A2F" w:rsidRDefault="005810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D0AE5"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лата взимается за вес по тарифу, указанному в разделах 1, 2, 3 и пункт</w:t>
            </w:r>
            <w:r w:rsidR="00DD0AE5" w:rsidRPr="00110A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D0AE5"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4.1</w:t>
            </w:r>
            <w:r w:rsidR="00DD0AE5" w:rsidRPr="00110A2F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D0AE5"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настоящей таблицы для соответствующего вида и категории почтового отправления</w:t>
            </w:r>
          </w:p>
        </w:tc>
      </w:tr>
      <w:tr w:rsidR="00DD0AE5" w:rsidRPr="007F4D9B" w14:paraId="30A6504B" w14:textId="77777777" w:rsidTr="00297726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6CDEA" w14:textId="10C8001F" w:rsidR="00DD0AE5" w:rsidRPr="00110A2F" w:rsidRDefault="00DD0AE5" w:rsidP="0075023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Тарифы на дополнительную услугу «</w:t>
            </w:r>
            <w:proofErr w:type="spellStart"/>
            <w:r w:rsidRPr="00110A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Межоператорское</w:t>
            </w:r>
            <w:proofErr w:type="spellEnd"/>
            <w:r w:rsidRPr="00110A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уведомление</w:t>
            </w:r>
            <w:r w:rsidR="00823A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110A2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вручении»</w:t>
            </w:r>
            <w:r w:rsidRPr="00110A2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(для отправлений разряда «</w:t>
            </w:r>
            <w:proofErr w:type="spellStart"/>
            <w:r w:rsidRPr="00110A2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Межоператорское</w:t>
            </w:r>
            <w:proofErr w:type="spellEnd"/>
            <w:r w:rsidRPr="00110A2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 категории «Заказное»</w:t>
            </w:r>
            <w:r w:rsidR="00823AA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110A2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«С объявленной ценностью»)</w:t>
            </w:r>
          </w:p>
        </w:tc>
      </w:tr>
      <w:tr w:rsidR="00EE4060" w:rsidRPr="007F4D9B" w14:paraId="3EF58A52" w14:textId="77777777" w:rsidTr="00226419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F1EA" w14:textId="388AF3E6" w:rsidR="00EE4060" w:rsidRPr="00110A2F" w:rsidRDefault="00EE4060" w:rsidP="00EE4060">
            <w:pPr>
              <w:pStyle w:val="a3"/>
              <w:numPr>
                <w:ilvl w:val="1"/>
                <w:numId w:val="9"/>
              </w:num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уведомление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3892" w14:textId="394B1204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C8E8D" w14:textId="431185E3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81,60</w:t>
            </w:r>
          </w:p>
        </w:tc>
      </w:tr>
      <w:tr w:rsidR="00EE4060" w:rsidRPr="007F4D9B" w14:paraId="206DE521" w14:textId="77777777" w:rsidTr="00226419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EBE" w14:textId="3EE75888" w:rsidR="00EE4060" w:rsidRPr="00110A2F" w:rsidRDefault="00EE4060" w:rsidP="00EE4060">
            <w:pPr>
              <w:pStyle w:val="a3"/>
              <w:numPr>
                <w:ilvl w:val="1"/>
                <w:numId w:val="9"/>
              </w:numPr>
              <w:tabs>
                <w:tab w:val="left" w:pos="6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Заказное уведомление</w:t>
            </w:r>
          </w:p>
        </w:tc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2C14A" w14:textId="40A9F02B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556C" w14:textId="17454D8C" w:rsidR="00EE4060" w:rsidRPr="007571F3" w:rsidRDefault="00EE4060" w:rsidP="00EE4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60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14:paraId="5A0CBC80" w14:textId="77777777" w:rsidR="00F516CE" w:rsidRDefault="00F516CE" w:rsidP="00F641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516CE" w:rsidSect="00BE1DD7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3820" w14:textId="77777777" w:rsidR="009918F5" w:rsidRDefault="009918F5" w:rsidP="00E774A1">
      <w:pPr>
        <w:spacing w:after="0" w:line="240" w:lineRule="auto"/>
      </w:pPr>
      <w:r>
        <w:separator/>
      </w:r>
    </w:p>
  </w:endnote>
  <w:endnote w:type="continuationSeparator" w:id="0">
    <w:p w14:paraId="18EF231A" w14:textId="77777777" w:rsidR="009918F5" w:rsidRDefault="009918F5" w:rsidP="00E7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YInterstate Light">
    <w:altName w:val="Franklin Gothic Medium Cond"/>
    <w:charset w:val="CC"/>
    <w:family w:val="auto"/>
    <w:pitch w:val="variable"/>
    <w:sig w:usb0="00000001" w:usb1="5000206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C617" w14:textId="77777777" w:rsidR="009918F5" w:rsidRDefault="009918F5" w:rsidP="00E774A1">
      <w:pPr>
        <w:spacing w:after="0" w:line="240" w:lineRule="auto"/>
      </w:pPr>
      <w:r>
        <w:separator/>
      </w:r>
    </w:p>
  </w:footnote>
  <w:footnote w:type="continuationSeparator" w:id="0">
    <w:p w14:paraId="72985BA0" w14:textId="77777777" w:rsidR="009918F5" w:rsidRDefault="009918F5" w:rsidP="00E774A1">
      <w:pPr>
        <w:spacing w:after="0" w:line="240" w:lineRule="auto"/>
      </w:pPr>
      <w:r>
        <w:continuationSeparator/>
      </w:r>
    </w:p>
  </w:footnote>
  <w:footnote w:id="1">
    <w:p w14:paraId="03438108" w14:textId="356BA224" w:rsidR="00BE1DD7" w:rsidRPr="00BE1DD7" w:rsidRDefault="00BE1DD7" w:rsidP="0090130B">
      <w:pPr>
        <w:pStyle w:val="af2"/>
        <w:ind w:firstLine="709"/>
        <w:jc w:val="both"/>
        <w:rPr>
          <w:rFonts w:ascii="Times New Roman" w:hAnsi="Times New Roman" w:cs="Times New Roman"/>
        </w:rPr>
      </w:pPr>
      <w:r w:rsidRPr="00BE1DD7">
        <w:rPr>
          <w:rStyle w:val="af4"/>
          <w:rFonts w:ascii="Times New Roman" w:hAnsi="Times New Roman" w:cs="Times New Roman"/>
        </w:rPr>
        <w:footnoteRef/>
      </w:r>
      <w:r w:rsidR="0090130B">
        <w:rPr>
          <w:rFonts w:ascii="Times New Roman" w:hAnsi="Times New Roman" w:cs="Times New Roman"/>
        </w:rPr>
        <w:t> </w:t>
      </w:r>
      <w:r w:rsidRPr="00BE1DD7">
        <w:rPr>
          <w:rFonts w:ascii="Times New Roman" w:hAnsi="Times New Roman" w:cs="Times New Roman"/>
        </w:rPr>
        <w:t>НДС взимается по ставке, установленной законодательством Российской Федерации на момент оказания услуги.</w:t>
      </w:r>
    </w:p>
  </w:footnote>
  <w:footnote w:id="2">
    <w:p w14:paraId="04A380BB" w14:textId="27D60827" w:rsidR="00BE1DD7" w:rsidRPr="00BE1DD7" w:rsidRDefault="00BE1DD7" w:rsidP="00A37226">
      <w:pPr>
        <w:pStyle w:val="af2"/>
        <w:ind w:firstLine="709"/>
        <w:jc w:val="both"/>
        <w:rPr>
          <w:rFonts w:ascii="Times New Roman" w:hAnsi="Times New Roman" w:cs="Times New Roman"/>
        </w:rPr>
      </w:pPr>
      <w:r w:rsidRPr="00BE1DD7">
        <w:rPr>
          <w:rStyle w:val="af4"/>
          <w:rFonts w:ascii="Times New Roman" w:hAnsi="Times New Roman" w:cs="Times New Roman"/>
        </w:rPr>
        <w:footnoteRef/>
      </w:r>
      <w:r w:rsidR="00A37226">
        <w:rPr>
          <w:rFonts w:ascii="Times New Roman" w:hAnsi="Times New Roman" w:cs="Times New Roman"/>
        </w:rPr>
        <w:t> </w:t>
      </w:r>
      <w:r w:rsidRPr="00BE1DD7">
        <w:rPr>
          <w:rFonts w:ascii="Times New Roman" w:hAnsi="Times New Roman" w:cs="Times New Roman"/>
        </w:rPr>
        <w:t>НДС взимается по ставке, установленной законодательством Российской Федерации на момент оказания услуги.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DC6"/>
    <w:multiLevelType w:val="hybridMultilevel"/>
    <w:tmpl w:val="0870EF90"/>
    <w:lvl w:ilvl="0" w:tplc="0409000F">
      <w:start w:val="1"/>
      <w:numFmt w:val="decimal"/>
      <w:lvlText w:val="%1."/>
      <w:lvlJc w:val="left"/>
      <w:pPr>
        <w:ind w:left="1793" w:hanging="375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761FBE"/>
    <w:multiLevelType w:val="multilevel"/>
    <w:tmpl w:val="6840E2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 w15:restartNumberingAfterBreak="0">
    <w:nsid w:val="52C23139"/>
    <w:multiLevelType w:val="multilevel"/>
    <w:tmpl w:val="2E7A53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75C3A3C"/>
    <w:multiLevelType w:val="hybridMultilevel"/>
    <w:tmpl w:val="C85C2A98"/>
    <w:lvl w:ilvl="0" w:tplc="FB9E9072">
      <w:start w:val="1"/>
      <w:numFmt w:val="decimal"/>
      <w:suff w:val="space"/>
      <w:lvlText w:val="%1."/>
      <w:lvlJc w:val="left"/>
      <w:pPr>
        <w:ind w:left="90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44AE6"/>
    <w:multiLevelType w:val="hybridMultilevel"/>
    <w:tmpl w:val="1AC08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B2BF9"/>
    <w:multiLevelType w:val="hybridMultilevel"/>
    <w:tmpl w:val="3ED03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84972"/>
    <w:multiLevelType w:val="multilevel"/>
    <w:tmpl w:val="799823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43"/>
    <w:rsid w:val="00007154"/>
    <w:rsid w:val="0001166F"/>
    <w:rsid w:val="000129C8"/>
    <w:rsid w:val="0003259D"/>
    <w:rsid w:val="00051BB1"/>
    <w:rsid w:val="0007620B"/>
    <w:rsid w:val="00076D12"/>
    <w:rsid w:val="00084461"/>
    <w:rsid w:val="00094EAE"/>
    <w:rsid w:val="000960BE"/>
    <w:rsid w:val="000A0B82"/>
    <w:rsid w:val="000C31B2"/>
    <w:rsid w:val="000D33FE"/>
    <w:rsid w:val="000E35A5"/>
    <w:rsid w:val="000E40FE"/>
    <w:rsid w:val="000E586C"/>
    <w:rsid w:val="000F0E83"/>
    <w:rsid w:val="000F6666"/>
    <w:rsid w:val="00104238"/>
    <w:rsid w:val="001074C7"/>
    <w:rsid w:val="00107BE5"/>
    <w:rsid w:val="00110A2F"/>
    <w:rsid w:val="0011163C"/>
    <w:rsid w:val="00111D46"/>
    <w:rsid w:val="00115388"/>
    <w:rsid w:val="001231EF"/>
    <w:rsid w:val="001300DF"/>
    <w:rsid w:val="001318AC"/>
    <w:rsid w:val="00132DE3"/>
    <w:rsid w:val="00136749"/>
    <w:rsid w:val="00150B93"/>
    <w:rsid w:val="00151973"/>
    <w:rsid w:val="00161C38"/>
    <w:rsid w:val="00162881"/>
    <w:rsid w:val="001640BA"/>
    <w:rsid w:val="00165E6C"/>
    <w:rsid w:val="001679E7"/>
    <w:rsid w:val="00171646"/>
    <w:rsid w:val="001773AC"/>
    <w:rsid w:val="00187426"/>
    <w:rsid w:val="00190804"/>
    <w:rsid w:val="001A7054"/>
    <w:rsid w:val="001B3436"/>
    <w:rsid w:val="001B3DC5"/>
    <w:rsid w:val="001C5643"/>
    <w:rsid w:val="001F28DD"/>
    <w:rsid w:val="001F4CE3"/>
    <w:rsid w:val="0021465E"/>
    <w:rsid w:val="00221D72"/>
    <w:rsid w:val="002335DC"/>
    <w:rsid w:val="00240635"/>
    <w:rsid w:val="002516EE"/>
    <w:rsid w:val="0026052B"/>
    <w:rsid w:val="00272BCB"/>
    <w:rsid w:val="00275F9C"/>
    <w:rsid w:val="00277DD2"/>
    <w:rsid w:val="00280EBB"/>
    <w:rsid w:val="00284790"/>
    <w:rsid w:val="002967B8"/>
    <w:rsid w:val="00297726"/>
    <w:rsid w:val="002A4164"/>
    <w:rsid w:val="002B301B"/>
    <w:rsid w:val="002B47F3"/>
    <w:rsid w:val="002C065E"/>
    <w:rsid w:val="002C7AEA"/>
    <w:rsid w:val="002E019C"/>
    <w:rsid w:val="002E448E"/>
    <w:rsid w:val="002E554B"/>
    <w:rsid w:val="002F1C28"/>
    <w:rsid w:val="002F2420"/>
    <w:rsid w:val="002F3362"/>
    <w:rsid w:val="002F5C13"/>
    <w:rsid w:val="002F765D"/>
    <w:rsid w:val="0030615C"/>
    <w:rsid w:val="00307DFC"/>
    <w:rsid w:val="00310841"/>
    <w:rsid w:val="00315E79"/>
    <w:rsid w:val="00350C93"/>
    <w:rsid w:val="00350DF5"/>
    <w:rsid w:val="00362194"/>
    <w:rsid w:val="00364360"/>
    <w:rsid w:val="00370435"/>
    <w:rsid w:val="00376F7F"/>
    <w:rsid w:val="0037785E"/>
    <w:rsid w:val="00382BAA"/>
    <w:rsid w:val="003926FF"/>
    <w:rsid w:val="00396129"/>
    <w:rsid w:val="003A2121"/>
    <w:rsid w:val="003A2B2F"/>
    <w:rsid w:val="003A39DC"/>
    <w:rsid w:val="003A4871"/>
    <w:rsid w:val="003A5602"/>
    <w:rsid w:val="003B1480"/>
    <w:rsid w:val="003C0215"/>
    <w:rsid w:val="003C07D2"/>
    <w:rsid w:val="003C26E1"/>
    <w:rsid w:val="003C49FA"/>
    <w:rsid w:val="003C75D3"/>
    <w:rsid w:val="003D4740"/>
    <w:rsid w:val="003E3E61"/>
    <w:rsid w:val="003E4970"/>
    <w:rsid w:val="00410332"/>
    <w:rsid w:val="004108A4"/>
    <w:rsid w:val="004112D4"/>
    <w:rsid w:val="004177CE"/>
    <w:rsid w:val="0043169F"/>
    <w:rsid w:val="00431933"/>
    <w:rsid w:val="00431C40"/>
    <w:rsid w:val="00431FD4"/>
    <w:rsid w:val="004418AA"/>
    <w:rsid w:val="00444374"/>
    <w:rsid w:val="00475279"/>
    <w:rsid w:val="00481701"/>
    <w:rsid w:val="00482E67"/>
    <w:rsid w:val="00491872"/>
    <w:rsid w:val="004A569C"/>
    <w:rsid w:val="004D3294"/>
    <w:rsid w:val="004D4875"/>
    <w:rsid w:val="004D7AD8"/>
    <w:rsid w:val="004E4BF6"/>
    <w:rsid w:val="004E7815"/>
    <w:rsid w:val="004F033F"/>
    <w:rsid w:val="004F5091"/>
    <w:rsid w:val="0050070E"/>
    <w:rsid w:val="00504575"/>
    <w:rsid w:val="0050626E"/>
    <w:rsid w:val="00506B99"/>
    <w:rsid w:val="00507313"/>
    <w:rsid w:val="00510D0F"/>
    <w:rsid w:val="00521C65"/>
    <w:rsid w:val="005236E9"/>
    <w:rsid w:val="005375A6"/>
    <w:rsid w:val="00537679"/>
    <w:rsid w:val="00547E34"/>
    <w:rsid w:val="00566115"/>
    <w:rsid w:val="00567B53"/>
    <w:rsid w:val="00567E2E"/>
    <w:rsid w:val="00571EB8"/>
    <w:rsid w:val="00574D79"/>
    <w:rsid w:val="005810C3"/>
    <w:rsid w:val="00592AF7"/>
    <w:rsid w:val="00595202"/>
    <w:rsid w:val="005A2BAA"/>
    <w:rsid w:val="005A51D5"/>
    <w:rsid w:val="005A5ABD"/>
    <w:rsid w:val="005B57D7"/>
    <w:rsid w:val="005C7660"/>
    <w:rsid w:val="005D11D2"/>
    <w:rsid w:val="005D4ED0"/>
    <w:rsid w:val="005E1C17"/>
    <w:rsid w:val="005E7D65"/>
    <w:rsid w:val="005F4EF6"/>
    <w:rsid w:val="006007A7"/>
    <w:rsid w:val="00612738"/>
    <w:rsid w:val="00613444"/>
    <w:rsid w:val="006275E1"/>
    <w:rsid w:val="00634D88"/>
    <w:rsid w:val="00634F25"/>
    <w:rsid w:val="006379EB"/>
    <w:rsid w:val="006435A8"/>
    <w:rsid w:val="00660296"/>
    <w:rsid w:val="006702BB"/>
    <w:rsid w:val="00694F19"/>
    <w:rsid w:val="00695470"/>
    <w:rsid w:val="00697015"/>
    <w:rsid w:val="006A0334"/>
    <w:rsid w:val="006A2BD0"/>
    <w:rsid w:val="006A33B7"/>
    <w:rsid w:val="006A7E8B"/>
    <w:rsid w:val="006B1C43"/>
    <w:rsid w:val="006B5432"/>
    <w:rsid w:val="006B5B34"/>
    <w:rsid w:val="006B6DC6"/>
    <w:rsid w:val="006C742E"/>
    <w:rsid w:val="006D41AC"/>
    <w:rsid w:val="006D63A3"/>
    <w:rsid w:val="006D736E"/>
    <w:rsid w:val="006F1AD9"/>
    <w:rsid w:val="007006ED"/>
    <w:rsid w:val="007022FB"/>
    <w:rsid w:val="007065A1"/>
    <w:rsid w:val="00707BD8"/>
    <w:rsid w:val="00733DC1"/>
    <w:rsid w:val="007371E2"/>
    <w:rsid w:val="007379A8"/>
    <w:rsid w:val="00750002"/>
    <w:rsid w:val="00750237"/>
    <w:rsid w:val="007571F3"/>
    <w:rsid w:val="007601DA"/>
    <w:rsid w:val="007673A2"/>
    <w:rsid w:val="00767E25"/>
    <w:rsid w:val="00775A5F"/>
    <w:rsid w:val="007804BE"/>
    <w:rsid w:val="00794CBC"/>
    <w:rsid w:val="00794D0D"/>
    <w:rsid w:val="007957B9"/>
    <w:rsid w:val="0079751C"/>
    <w:rsid w:val="007A458C"/>
    <w:rsid w:val="007A5D02"/>
    <w:rsid w:val="007B25D2"/>
    <w:rsid w:val="007B2E65"/>
    <w:rsid w:val="007E1A2C"/>
    <w:rsid w:val="007F384A"/>
    <w:rsid w:val="007F4D9B"/>
    <w:rsid w:val="008008F9"/>
    <w:rsid w:val="0080163D"/>
    <w:rsid w:val="008102F1"/>
    <w:rsid w:val="00813F0D"/>
    <w:rsid w:val="00814C80"/>
    <w:rsid w:val="00823AAD"/>
    <w:rsid w:val="00836B9B"/>
    <w:rsid w:val="00840FB5"/>
    <w:rsid w:val="00846CBA"/>
    <w:rsid w:val="00861D67"/>
    <w:rsid w:val="008802C3"/>
    <w:rsid w:val="008868B2"/>
    <w:rsid w:val="008874E4"/>
    <w:rsid w:val="008915C3"/>
    <w:rsid w:val="008A0FE6"/>
    <w:rsid w:val="008A755C"/>
    <w:rsid w:val="008C5B7D"/>
    <w:rsid w:val="008D0D7F"/>
    <w:rsid w:val="008D162C"/>
    <w:rsid w:val="008D25B1"/>
    <w:rsid w:val="008D5F32"/>
    <w:rsid w:val="008D6070"/>
    <w:rsid w:val="008D62D8"/>
    <w:rsid w:val="008D656D"/>
    <w:rsid w:val="008D6D7D"/>
    <w:rsid w:val="008E2C8A"/>
    <w:rsid w:val="008E7316"/>
    <w:rsid w:val="008F4591"/>
    <w:rsid w:val="0090118F"/>
    <w:rsid w:val="0090130B"/>
    <w:rsid w:val="00904A03"/>
    <w:rsid w:val="0091065F"/>
    <w:rsid w:val="00910D68"/>
    <w:rsid w:val="0091690E"/>
    <w:rsid w:val="009269BF"/>
    <w:rsid w:val="00932071"/>
    <w:rsid w:val="00936FD5"/>
    <w:rsid w:val="0093779E"/>
    <w:rsid w:val="00943A2B"/>
    <w:rsid w:val="00945366"/>
    <w:rsid w:val="009471AA"/>
    <w:rsid w:val="00954DAD"/>
    <w:rsid w:val="009635B1"/>
    <w:rsid w:val="00963D71"/>
    <w:rsid w:val="0096410E"/>
    <w:rsid w:val="00977170"/>
    <w:rsid w:val="00982B68"/>
    <w:rsid w:val="00984307"/>
    <w:rsid w:val="0098670A"/>
    <w:rsid w:val="00987226"/>
    <w:rsid w:val="009875A8"/>
    <w:rsid w:val="00990E64"/>
    <w:rsid w:val="009918F5"/>
    <w:rsid w:val="00992F31"/>
    <w:rsid w:val="009967A2"/>
    <w:rsid w:val="009A3647"/>
    <w:rsid w:val="009A5166"/>
    <w:rsid w:val="009C6BBE"/>
    <w:rsid w:val="009D6A9D"/>
    <w:rsid w:val="009E202F"/>
    <w:rsid w:val="00A10565"/>
    <w:rsid w:val="00A15B4A"/>
    <w:rsid w:val="00A22309"/>
    <w:rsid w:val="00A37226"/>
    <w:rsid w:val="00A37E24"/>
    <w:rsid w:val="00A477BB"/>
    <w:rsid w:val="00A5606F"/>
    <w:rsid w:val="00A81C9E"/>
    <w:rsid w:val="00A81E0F"/>
    <w:rsid w:val="00A8242C"/>
    <w:rsid w:val="00A84626"/>
    <w:rsid w:val="00A8739F"/>
    <w:rsid w:val="00A938B6"/>
    <w:rsid w:val="00A95820"/>
    <w:rsid w:val="00AA0E43"/>
    <w:rsid w:val="00AA159B"/>
    <w:rsid w:val="00AA64F9"/>
    <w:rsid w:val="00AB700E"/>
    <w:rsid w:val="00AC2766"/>
    <w:rsid w:val="00AC318D"/>
    <w:rsid w:val="00AD1CDA"/>
    <w:rsid w:val="00AD22C9"/>
    <w:rsid w:val="00AD6522"/>
    <w:rsid w:val="00AE1AE1"/>
    <w:rsid w:val="00AE3734"/>
    <w:rsid w:val="00AE3F39"/>
    <w:rsid w:val="00AE51AF"/>
    <w:rsid w:val="00AF361D"/>
    <w:rsid w:val="00AF45B8"/>
    <w:rsid w:val="00B0691C"/>
    <w:rsid w:val="00B26792"/>
    <w:rsid w:val="00B31C9A"/>
    <w:rsid w:val="00B329D6"/>
    <w:rsid w:val="00B37A4A"/>
    <w:rsid w:val="00B37C6B"/>
    <w:rsid w:val="00B476F0"/>
    <w:rsid w:val="00B54726"/>
    <w:rsid w:val="00B60D64"/>
    <w:rsid w:val="00B62DA3"/>
    <w:rsid w:val="00B66CF0"/>
    <w:rsid w:val="00B76440"/>
    <w:rsid w:val="00B76D07"/>
    <w:rsid w:val="00B84279"/>
    <w:rsid w:val="00B8718F"/>
    <w:rsid w:val="00B921E5"/>
    <w:rsid w:val="00B93376"/>
    <w:rsid w:val="00BA3004"/>
    <w:rsid w:val="00BB2FEE"/>
    <w:rsid w:val="00BB71F5"/>
    <w:rsid w:val="00BC33EB"/>
    <w:rsid w:val="00BC64CE"/>
    <w:rsid w:val="00BD3F32"/>
    <w:rsid w:val="00BE1DD7"/>
    <w:rsid w:val="00BE5F5F"/>
    <w:rsid w:val="00BF2FB2"/>
    <w:rsid w:val="00BF4D2A"/>
    <w:rsid w:val="00C14102"/>
    <w:rsid w:val="00C34DCC"/>
    <w:rsid w:val="00C474A5"/>
    <w:rsid w:val="00C527BD"/>
    <w:rsid w:val="00C55423"/>
    <w:rsid w:val="00C63059"/>
    <w:rsid w:val="00C64B4B"/>
    <w:rsid w:val="00C7033D"/>
    <w:rsid w:val="00C75905"/>
    <w:rsid w:val="00C77BDC"/>
    <w:rsid w:val="00C80400"/>
    <w:rsid w:val="00C83BD1"/>
    <w:rsid w:val="00C8462B"/>
    <w:rsid w:val="00C9747B"/>
    <w:rsid w:val="00CA1C91"/>
    <w:rsid w:val="00CA2583"/>
    <w:rsid w:val="00CA631F"/>
    <w:rsid w:val="00CA71A3"/>
    <w:rsid w:val="00CB47E8"/>
    <w:rsid w:val="00CB6BBD"/>
    <w:rsid w:val="00CC083C"/>
    <w:rsid w:val="00CC3749"/>
    <w:rsid w:val="00CD0AAC"/>
    <w:rsid w:val="00CE12EA"/>
    <w:rsid w:val="00CF4FB8"/>
    <w:rsid w:val="00D022D0"/>
    <w:rsid w:val="00D03769"/>
    <w:rsid w:val="00D17290"/>
    <w:rsid w:val="00D26684"/>
    <w:rsid w:val="00D30069"/>
    <w:rsid w:val="00D30F1E"/>
    <w:rsid w:val="00D354F7"/>
    <w:rsid w:val="00D44556"/>
    <w:rsid w:val="00D46B98"/>
    <w:rsid w:val="00D578FF"/>
    <w:rsid w:val="00D649F8"/>
    <w:rsid w:val="00D65D6F"/>
    <w:rsid w:val="00D73739"/>
    <w:rsid w:val="00D74A1F"/>
    <w:rsid w:val="00D85569"/>
    <w:rsid w:val="00D85B7F"/>
    <w:rsid w:val="00D85C80"/>
    <w:rsid w:val="00D90C90"/>
    <w:rsid w:val="00D92911"/>
    <w:rsid w:val="00DA1125"/>
    <w:rsid w:val="00DB267A"/>
    <w:rsid w:val="00DB573A"/>
    <w:rsid w:val="00DB6DA6"/>
    <w:rsid w:val="00DD0AE5"/>
    <w:rsid w:val="00DD1783"/>
    <w:rsid w:val="00DE11E8"/>
    <w:rsid w:val="00DE1555"/>
    <w:rsid w:val="00DF3C76"/>
    <w:rsid w:val="00E0052D"/>
    <w:rsid w:val="00E106E9"/>
    <w:rsid w:val="00E260AA"/>
    <w:rsid w:val="00E31612"/>
    <w:rsid w:val="00E3494E"/>
    <w:rsid w:val="00E41527"/>
    <w:rsid w:val="00E50A8C"/>
    <w:rsid w:val="00E50F95"/>
    <w:rsid w:val="00E774A1"/>
    <w:rsid w:val="00E82919"/>
    <w:rsid w:val="00E90515"/>
    <w:rsid w:val="00E96D27"/>
    <w:rsid w:val="00EB0E0C"/>
    <w:rsid w:val="00EB5894"/>
    <w:rsid w:val="00EC11AB"/>
    <w:rsid w:val="00EC43C0"/>
    <w:rsid w:val="00EC520A"/>
    <w:rsid w:val="00EC60A1"/>
    <w:rsid w:val="00ED02D9"/>
    <w:rsid w:val="00EE4060"/>
    <w:rsid w:val="00EE48E2"/>
    <w:rsid w:val="00EE712E"/>
    <w:rsid w:val="00EF2B84"/>
    <w:rsid w:val="00F04B6C"/>
    <w:rsid w:val="00F071DF"/>
    <w:rsid w:val="00F153C0"/>
    <w:rsid w:val="00F171D4"/>
    <w:rsid w:val="00F37D5A"/>
    <w:rsid w:val="00F4238A"/>
    <w:rsid w:val="00F516CE"/>
    <w:rsid w:val="00F60D71"/>
    <w:rsid w:val="00F63AF3"/>
    <w:rsid w:val="00F64025"/>
    <w:rsid w:val="00F64154"/>
    <w:rsid w:val="00F650FB"/>
    <w:rsid w:val="00F65413"/>
    <w:rsid w:val="00F65C52"/>
    <w:rsid w:val="00F66F54"/>
    <w:rsid w:val="00F72923"/>
    <w:rsid w:val="00F83C2C"/>
    <w:rsid w:val="00F87597"/>
    <w:rsid w:val="00F9023C"/>
    <w:rsid w:val="00F97635"/>
    <w:rsid w:val="00FA6505"/>
    <w:rsid w:val="00FB1492"/>
    <w:rsid w:val="00FB1EC5"/>
    <w:rsid w:val="00FB5758"/>
    <w:rsid w:val="00FB5A42"/>
    <w:rsid w:val="00FB7C43"/>
    <w:rsid w:val="00FC052B"/>
    <w:rsid w:val="00FC7132"/>
    <w:rsid w:val="00FD0D66"/>
    <w:rsid w:val="00FD7924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6345C"/>
  <w15:docId w15:val="{5A15B1BC-AF6B-4AC0-9FAA-641F8330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43"/>
    <w:pPr>
      <w:ind w:left="720"/>
      <w:contextualSpacing/>
    </w:pPr>
  </w:style>
  <w:style w:type="paragraph" w:styleId="a4">
    <w:name w:val="Body Text Indent"/>
    <w:basedOn w:val="a"/>
    <w:link w:val="a5"/>
    <w:rsid w:val="001C564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C5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170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8170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8170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170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170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81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1701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D6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YNormalChar">
    <w:name w:val="EY Normal Char"/>
    <w:basedOn w:val="a0"/>
    <w:link w:val="EYNormal"/>
    <w:locked/>
    <w:rsid w:val="00D46B98"/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customStyle="1" w:styleId="EYNormal">
    <w:name w:val="EY Normal"/>
    <w:link w:val="EYNormalChar"/>
    <w:rsid w:val="00D46B98"/>
    <w:pPr>
      <w:spacing w:before="120" w:after="120" w:line="240" w:lineRule="auto"/>
    </w:pPr>
    <w:rPr>
      <w:rFonts w:ascii="EYInterstate Light" w:eastAsia="Times New Roman" w:hAnsi="EYInterstate Light" w:cs="Times New Roman"/>
      <w:kern w:val="12"/>
      <w:sz w:val="20"/>
      <w:szCs w:val="24"/>
      <w:lang w:val="en-US"/>
    </w:rPr>
  </w:style>
  <w:style w:type="paragraph" w:styleId="ae">
    <w:name w:val="header"/>
    <w:basedOn w:val="a"/>
    <w:link w:val="af"/>
    <w:uiPriority w:val="99"/>
    <w:unhideWhenUsed/>
    <w:rsid w:val="00E77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774A1"/>
  </w:style>
  <w:style w:type="paragraph" w:styleId="af0">
    <w:name w:val="footer"/>
    <w:basedOn w:val="a"/>
    <w:link w:val="af1"/>
    <w:uiPriority w:val="99"/>
    <w:unhideWhenUsed/>
    <w:rsid w:val="00E77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774A1"/>
  </w:style>
  <w:style w:type="paragraph" w:styleId="af2">
    <w:name w:val="footnote text"/>
    <w:basedOn w:val="a"/>
    <w:link w:val="af3"/>
    <w:uiPriority w:val="99"/>
    <w:semiHidden/>
    <w:unhideWhenUsed/>
    <w:rsid w:val="002F336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F3362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F3362"/>
    <w:rPr>
      <w:vertAlign w:val="superscript"/>
    </w:rPr>
  </w:style>
  <w:style w:type="table" w:customStyle="1" w:styleId="1">
    <w:name w:val="Сетка таблицы1"/>
    <w:basedOn w:val="a1"/>
    <w:next w:val="ad"/>
    <w:uiPriority w:val="59"/>
    <w:rsid w:val="00F51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93344-0CF1-4DEA-8FCF-16035999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935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Чивильдеев Владимир Александрович</dc:creator>
  <cp:keywords/>
  <dc:description/>
  <cp:lastModifiedBy>Лукина Ольга Сергеевна</cp:lastModifiedBy>
  <cp:revision>3</cp:revision>
  <cp:lastPrinted>2020-07-03T10:18:00Z</cp:lastPrinted>
  <dcterms:created xsi:type="dcterms:W3CDTF">2025-03-21T12:55:00Z</dcterms:created>
  <dcterms:modified xsi:type="dcterms:W3CDTF">2025-03-21T13:06:00Z</dcterms:modified>
</cp:coreProperties>
</file>